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425"/>
        <w:tblW w:w="0" w:type="auto"/>
        <w:tblLook w:val="04A0" w:firstRow="1" w:lastRow="0" w:firstColumn="1" w:lastColumn="0" w:noHBand="0" w:noVBand="1"/>
      </w:tblPr>
      <w:tblGrid>
        <w:gridCol w:w="4675"/>
        <w:gridCol w:w="4675"/>
      </w:tblGrid>
      <w:tr w:rsidR="00C2425F" w:rsidTr="00C2425F">
        <w:tc>
          <w:tcPr>
            <w:tcW w:w="4675" w:type="dxa"/>
          </w:tcPr>
          <w:p w:rsidR="00C2425F" w:rsidRDefault="00C2425F" w:rsidP="00C2425F">
            <w:r>
              <w:t>Response</w:t>
            </w:r>
          </w:p>
        </w:tc>
        <w:tc>
          <w:tcPr>
            <w:tcW w:w="4675" w:type="dxa"/>
          </w:tcPr>
          <w:p w:rsidR="00C2425F" w:rsidRDefault="007859B2" w:rsidP="00C2425F">
            <w:r>
              <w:t>Disaster Recovery</w:t>
            </w:r>
          </w:p>
        </w:tc>
      </w:tr>
      <w:tr w:rsidR="00C2425F" w:rsidTr="00C2425F">
        <w:tc>
          <w:tcPr>
            <w:tcW w:w="4675" w:type="dxa"/>
          </w:tcPr>
          <w:p w:rsidR="00C2425F" w:rsidRDefault="00C2425F" w:rsidP="00C2425F">
            <w:r>
              <w:t>From tender</w:t>
            </w:r>
          </w:p>
        </w:tc>
        <w:tc>
          <w:tcPr>
            <w:tcW w:w="4675" w:type="dxa"/>
          </w:tcPr>
          <w:p w:rsidR="00C2425F" w:rsidRDefault="00C2425F" w:rsidP="00C2425F">
            <w:r>
              <w:t>Health share</w:t>
            </w:r>
          </w:p>
          <w:p w:rsidR="00C2425F" w:rsidRDefault="00C2425F" w:rsidP="00C2425F"/>
        </w:tc>
      </w:tr>
      <w:tr w:rsidR="00FD2D48" w:rsidTr="00C2425F">
        <w:tc>
          <w:tcPr>
            <w:tcW w:w="4675" w:type="dxa"/>
          </w:tcPr>
          <w:p w:rsidR="00FD2D48" w:rsidRDefault="00FD2D48" w:rsidP="00C2425F">
            <w:r>
              <w:t>Date</w:t>
            </w:r>
          </w:p>
        </w:tc>
        <w:tc>
          <w:tcPr>
            <w:tcW w:w="4675" w:type="dxa"/>
          </w:tcPr>
          <w:p w:rsidR="00FD2D48" w:rsidRDefault="00FD2D48" w:rsidP="00C2425F">
            <w:r>
              <w:t>2018</w:t>
            </w:r>
          </w:p>
        </w:tc>
      </w:tr>
    </w:tbl>
    <w:p w:rsidR="00C2425F" w:rsidRDefault="00C2425F"/>
    <w:p w:rsidR="00C2425F" w:rsidRDefault="00C2425F"/>
    <w:p w:rsidR="007859B2" w:rsidRPr="007859B2" w:rsidRDefault="007859B2" w:rsidP="007859B2">
      <w:pPr>
        <w:spacing w:after="0" w:line="240" w:lineRule="auto"/>
        <w:rPr>
          <w:rFonts w:ascii="Arial" w:eastAsia="Times New Roman" w:hAnsi="Arial" w:cs="Arial"/>
          <w:color w:val="002060"/>
          <w:sz w:val="20"/>
          <w:szCs w:val="20"/>
          <w:lang w:val="en-AU" w:eastAsia="en-AU"/>
        </w:rPr>
      </w:pPr>
      <w:r w:rsidRPr="007859B2">
        <w:rPr>
          <w:rFonts w:ascii="Arial" w:eastAsia="Times New Roman" w:hAnsi="Arial" w:cs="Arial"/>
          <w:color w:val="002060"/>
          <w:sz w:val="20"/>
          <w:szCs w:val="20"/>
          <w:lang w:val="en-AU" w:eastAsia="en-AU"/>
        </w:rPr>
        <w:t xml:space="preserve">Toshiba has its DRP for its data centre, IT application, head office site and warehouse. </w:t>
      </w:r>
      <w:r w:rsidRPr="007859B2">
        <w:rPr>
          <w:rFonts w:ascii="Arial" w:eastAsia="Times New Roman" w:hAnsi="Arial" w:cs="Arial"/>
          <w:color w:val="002060"/>
          <w:sz w:val="20"/>
          <w:szCs w:val="20"/>
          <w:lang w:val="en-AU" w:eastAsia="en-AU"/>
        </w:rPr>
        <w:br/>
        <w:t>The Disaster Recovery invocation process is outlined below</w:t>
      </w:r>
      <w:proofErr w:type="gramStart"/>
      <w:r w:rsidRPr="007859B2">
        <w:rPr>
          <w:rFonts w:ascii="Arial" w:eastAsia="Times New Roman" w:hAnsi="Arial" w:cs="Arial"/>
          <w:color w:val="002060"/>
          <w:sz w:val="20"/>
          <w:szCs w:val="20"/>
          <w:lang w:val="en-AU" w:eastAsia="en-AU"/>
        </w:rPr>
        <w:t>:</w:t>
      </w:r>
      <w:proofErr w:type="gramEnd"/>
      <w:r w:rsidRPr="007859B2">
        <w:rPr>
          <w:rFonts w:ascii="Arial" w:eastAsia="Times New Roman" w:hAnsi="Arial" w:cs="Arial"/>
          <w:color w:val="002060"/>
          <w:sz w:val="20"/>
          <w:szCs w:val="20"/>
          <w:lang w:val="en-AU" w:eastAsia="en-AU"/>
        </w:rPr>
        <w:br/>
        <w:t xml:space="preserve">1. Either the TAP IT Team or TAP Business Executives can invoke this process, depending on who discovers an incident. </w:t>
      </w:r>
      <w:r w:rsidRPr="007859B2">
        <w:rPr>
          <w:rFonts w:ascii="Arial" w:eastAsia="Times New Roman" w:hAnsi="Arial" w:cs="Arial"/>
          <w:color w:val="002060"/>
          <w:sz w:val="20"/>
          <w:szCs w:val="20"/>
          <w:lang w:val="en-AU" w:eastAsia="en-AU"/>
        </w:rPr>
        <w:br/>
        <w:t xml:space="preserve">2. Based on the incident severity, impact and expected outage, the IT DR Team leader initiates a phone conference call with the additional IT DR team contacts, and at the same time, engages an executive authoriser to review and approve decisions made by the IT DR team. The IT DR team decides whether this is a ‘Severity 1 Incident’ or a Disaster: </w:t>
      </w:r>
      <w:r w:rsidRPr="007859B2">
        <w:rPr>
          <w:rFonts w:ascii="Arial" w:eastAsia="Times New Roman" w:hAnsi="Arial" w:cs="Arial"/>
          <w:color w:val="002060"/>
          <w:sz w:val="20"/>
          <w:szCs w:val="20"/>
          <w:lang w:val="en-AU" w:eastAsia="en-AU"/>
        </w:rPr>
        <w:br/>
        <w:t xml:space="preserve">o Severity 1 Incident: the IT Infrastructure Support and IT Applications Support teams are engaged to resolve the incident, follow up with problem management (root cause analysis and permanent fix) and undertake a Post Incident Review (PIR). </w:t>
      </w:r>
      <w:r w:rsidRPr="007859B2">
        <w:rPr>
          <w:rFonts w:ascii="Arial" w:eastAsia="Times New Roman" w:hAnsi="Arial" w:cs="Arial"/>
          <w:color w:val="002060"/>
          <w:sz w:val="20"/>
          <w:szCs w:val="20"/>
          <w:lang w:val="en-AU" w:eastAsia="en-AU"/>
        </w:rPr>
        <w:br/>
      </w:r>
      <w:proofErr w:type="gramStart"/>
      <w:r w:rsidRPr="007859B2">
        <w:rPr>
          <w:rFonts w:ascii="Arial" w:eastAsia="Times New Roman" w:hAnsi="Arial" w:cs="Arial"/>
          <w:color w:val="002060"/>
          <w:sz w:val="20"/>
          <w:szCs w:val="20"/>
          <w:lang w:val="en-AU" w:eastAsia="en-AU"/>
        </w:rPr>
        <w:t>o</w:t>
      </w:r>
      <w:proofErr w:type="gramEnd"/>
      <w:r w:rsidRPr="007859B2">
        <w:rPr>
          <w:rFonts w:ascii="Arial" w:eastAsia="Times New Roman" w:hAnsi="Arial" w:cs="Arial"/>
          <w:color w:val="002060"/>
          <w:sz w:val="20"/>
          <w:szCs w:val="20"/>
          <w:lang w:val="en-AU" w:eastAsia="en-AU"/>
        </w:rPr>
        <w:t xml:space="preserve"> Disaster: the IT DR plan is invoked by the IT DR manager and is communicated to the IT Manager, key business stakeholders and key outsourced IT service providers </w:t>
      </w:r>
      <w:r w:rsidRPr="007859B2">
        <w:rPr>
          <w:rFonts w:ascii="Arial" w:eastAsia="Times New Roman" w:hAnsi="Arial" w:cs="Arial"/>
          <w:color w:val="002060"/>
          <w:sz w:val="20"/>
          <w:szCs w:val="20"/>
          <w:lang w:val="en-AU" w:eastAsia="en-AU"/>
        </w:rPr>
        <w:br/>
        <w:t xml:space="preserve">3. If the IT DR plan is invoked, the TAP Business Continuity Command Team is also advised. </w:t>
      </w:r>
      <w:r w:rsidRPr="007859B2">
        <w:rPr>
          <w:rFonts w:ascii="Arial" w:eastAsia="Times New Roman" w:hAnsi="Arial" w:cs="Arial"/>
          <w:color w:val="002060"/>
          <w:sz w:val="20"/>
          <w:szCs w:val="20"/>
          <w:lang w:val="en-AU" w:eastAsia="en-AU"/>
        </w:rPr>
        <w:br/>
        <w:t>Next, the IT DR teams invoke their IT Disaster Recovery profiles and procedures, which are monitored by the IT DR Manager. At this time, additional third-party outsourced providers are also informed, and where necessary, engaged to assist with the recovery process.</w:t>
      </w:r>
      <w:r w:rsidRPr="007859B2">
        <w:rPr>
          <w:rFonts w:ascii="Arial" w:eastAsia="Times New Roman" w:hAnsi="Arial" w:cs="Arial"/>
          <w:color w:val="002060"/>
          <w:sz w:val="20"/>
          <w:szCs w:val="20"/>
          <w:lang w:val="en-AU" w:eastAsia="en-AU"/>
        </w:rPr>
        <w:br/>
        <w:t xml:space="preserve">Part of our Risk Management strategy for supply is the diverse location of more than $42 Million in stock in 6 warehouses in Melbourne, Canberra, Sydney (2), Brisbane and Auckland, plus additional air freight supply from Toshiba Singapore. This is to help mitigate disaster risks and resume the service provision ASAP. </w:t>
      </w:r>
    </w:p>
    <w:p w:rsidR="00BA5C94" w:rsidRDefault="00BA5C94" w:rsidP="00C2425F">
      <w:bookmarkStart w:id="0" w:name="_GoBack"/>
      <w:bookmarkEnd w:id="0"/>
    </w:p>
    <w:sectPr w:rsidR="00BA5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EwNLcwMTA1Mjc1sjRV0lEKTi0uzszPAykwqgUAUQgBUCwAAAA="/>
  </w:docVars>
  <w:rsids>
    <w:rsidRoot w:val="00C2425F"/>
    <w:rsid w:val="007859B2"/>
    <w:rsid w:val="00BA5C94"/>
    <w:rsid w:val="00C2425F"/>
    <w:rsid w:val="00E26E01"/>
    <w:rsid w:val="00FD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5145"/>
  <w15:chartTrackingRefBased/>
  <w15:docId w15:val="{B4A82380-6BF1-4F9E-809D-8603438A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4517">
      <w:bodyDiv w:val="1"/>
      <w:marLeft w:val="0"/>
      <w:marRight w:val="0"/>
      <w:marTop w:val="0"/>
      <w:marBottom w:val="0"/>
      <w:divBdr>
        <w:top w:val="none" w:sz="0" w:space="0" w:color="auto"/>
        <w:left w:val="none" w:sz="0" w:space="0" w:color="auto"/>
        <w:bottom w:val="none" w:sz="0" w:space="0" w:color="auto"/>
        <w:right w:val="none" w:sz="0" w:space="0" w:color="auto"/>
      </w:divBdr>
    </w:div>
    <w:div w:id="263005587">
      <w:bodyDiv w:val="1"/>
      <w:marLeft w:val="0"/>
      <w:marRight w:val="0"/>
      <w:marTop w:val="0"/>
      <w:marBottom w:val="0"/>
      <w:divBdr>
        <w:top w:val="none" w:sz="0" w:space="0" w:color="auto"/>
        <w:left w:val="none" w:sz="0" w:space="0" w:color="auto"/>
        <w:bottom w:val="none" w:sz="0" w:space="0" w:color="auto"/>
        <w:right w:val="none" w:sz="0" w:space="0" w:color="auto"/>
      </w:divBdr>
    </w:div>
    <w:div w:id="7853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Reference Material" ma:contentTypeID="0x01010068DC3A198132174FA28C3947EF4BA99700D207C5E231705D448A02C62F06DCDD5D" ma:contentTypeVersion="5" ma:contentTypeDescription="" ma:contentTypeScope="" ma:versionID="6008d88d43b019cfddb602ba5678060a">
  <xsd:schema xmlns:xsd="http://www.w3.org/2001/XMLSchema" xmlns:xs="http://www.w3.org/2001/XMLSchema" xmlns:p="http://schemas.microsoft.com/office/2006/metadata/properties" xmlns:ns2="079a1de4-02e0-4cf4-98df-f678140b61a4" targetNamespace="http://schemas.microsoft.com/office/2006/metadata/properties" ma:root="true" ma:fieldsID="6b45490f12cfdd35038b02c529dc8e9a" ns2:_="">
    <xsd:import namespace="079a1de4-02e0-4cf4-98df-f678140b61a4"/>
    <xsd:element name="properties">
      <xsd:complexType>
        <xsd:sequence>
          <xsd:element name="documentManagement">
            <xsd:complexType>
              <xsd:all>
                <xsd:element ref="ns2:Access" minOccurs="0"/>
                <xsd:element ref="ns2:Send_x0020_to_x0020_Sitecore" minOccurs="0"/>
                <xsd:element ref="ns2:Brief_x0020_Descrip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1de4-02e0-4cf4-98df-f678140b61a4" elementFormDefault="qualified">
    <xsd:import namespace="http://schemas.microsoft.com/office/2006/documentManagement/types"/>
    <xsd:import namespace="http://schemas.microsoft.com/office/infopath/2007/PartnerControls"/>
    <xsd:element name="Access" ma:index="8" nillable="true" ma:displayName="Access" ma:internalName="Access">
      <xsd:complexType>
        <xsd:complexContent>
          <xsd:extension base="dms:MultiChoice">
            <xsd:sequence>
              <xsd:element name="Value" maxOccurs="unbounded" minOccurs="0" nillable="true">
                <xsd:simpleType>
                  <xsd:restriction base="dms:Choice">
                    <xsd:enumeration value="TAP"/>
                    <xsd:enumeration value="TAP Principal"/>
                    <xsd:enumeration value="TAP Sales"/>
                    <xsd:enumeration value="TAP Technician"/>
                    <xsd:enumeration value="Dealer Principal"/>
                    <xsd:enumeration value="Dealer Technician"/>
                    <xsd:enumeration value="Dealer SalesRep"/>
                    <xsd:enumeration value="Customer"/>
                    <xsd:enumeration value="Public"/>
                  </xsd:restriction>
                </xsd:simpleType>
              </xsd:element>
            </xsd:sequence>
          </xsd:extension>
        </xsd:complexContent>
      </xsd:complexType>
    </xsd:element>
    <xsd:element name="Send_x0020_to_x0020_Sitecore" ma:index="9" nillable="true" ma:displayName="Send to Sitecore" ma:default="No" ma:format="Dropdown" ma:internalName="Send_x0020_to_x0020_Sitecore">
      <xsd:simpleType>
        <xsd:restriction base="dms:Choice">
          <xsd:enumeration value="Yes"/>
          <xsd:enumeration value="No"/>
        </xsd:restriction>
      </xsd:simpleType>
    </xsd:element>
    <xsd:element name="Brief_x0020_Description" ma:index="10" nillable="true" ma:displayName="Brief Description" ma:internalName="Brief_x0020_Description">
      <xsd:simpleType>
        <xsd:restriction base="dms:Note">
          <xsd:maxLength value="255"/>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rief_x0020_Description xmlns="079a1de4-02e0-4cf4-98df-f678140b61a4">form healthshare repsonse</Brief_x0020_Description>
    <Send_x0020_to_x0020_Sitecore xmlns="079a1de4-02e0-4cf4-98df-f678140b61a4">Yes</Send_x0020_to_x0020_Sitecore>
    <Access xmlns="079a1de4-02e0-4cf4-98df-f678140b61a4">
      <Value>TAP</Value>
      <Value>TAP Sales</Value>
      <Value>Public</Value>
    </Access>
    <_dlc_DocId xmlns="079a1de4-02e0-4cf4-98df-f678140b61a4">6PXCXNYN7C73-889724472-137</_dlc_DocId>
    <_dlc_DocIdUrl xmlns="079a1de4-02e0-4cf4-98df-f678140b61a4">
      <Url>http://ttc-eid/Tenders/_layouts/15/DocIdRedir.aspx?ID=6PXCXNYN7C73-889724472-137</Url>
      <Description>6PXCXNYN7C73-889724472-137</Description>
    </_dlc_DocIdUrl>
  </documentManagement>
</p:properties>
</file>

<file path=customXml/itemProps1.xml><?xml version="1.0" encoding="utf-8"?>
<ds:datastoreItem xmlns:ds="http://schemas.openxmlformats.org/officeDocument/2006/customXml" ds:itemID="{4DDFEE10-E81E-4890-BF38-A7E821BCB4F1}"/>
</file>

<file path=customXml/itemProps2.xml><?xml version="1.0" encoding="utf-8"?>
<ds:datastoreItem xmlns:ds="http://schemas.openxmlformats.org/officeDocument/2006/customXml" ds:itemID="{D30934D8-AEED-49C4-9F76-4059E4AA2992}"/>
</file>

<file path=customXml/itemProps3.xml><?xml version="1.0" encoding="utf-8"?>
<ds:datastoreItem xmlns:ds="http://schemas.openxmlformats.org/officeDocument/2006/customXml" ds:itemID="{99450869-E433-42F4-9E5A-231B3BED41CD}"/>
</file>

<file path=customXml/itemProps4.xml><?xml version="1.0" encoding="utf-8"?>
<ds:datastoreItem xmlns:ds="http://schemas.openxmlformats.org/officeDocument/2006/customXml" ds:itemID="{9D95166B-D302-4A8D-99EF-370E7255234B}"/>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 (Australia) Pty Ltd</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recovery process</dc:title>
  <dc:subject/>
  <dc:creator>Andrew Jones</dc:creator>
  <cp:keywords/>
  <dc:description/>
  <cp:lastModifiedBy>Andrew Jones</cp:lastModifiedBy>
  <cp:revision>2</cp:revision>
  <dcterms:created xsi:type="dcterms:W3CDTF">2020-01-30T00:43:00Z</dcterms:created>
  <dcterms:modified xsi:type="dcterms:W3CDTF">2020-01-30T00:43:00Z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0x01010068DC3A198132174FA28C3947EF4BA99700D207C5E231705D448A02C62F06DCDD5D</vt:lpwstr>
  </property>
  <property fmtid="{D5CDD505-2E9C-101B-9397-08002B2CF9AE}" pid="3" name="_dlc_DocIdItemGuid">
    <vt:lpwstr>cee39537-d1e1-41d8-a6b3-f8793f536737</vt:lpwstr>
  </property>
</Properties>
</file>